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38</w:t>
      </w:r>
    </w:p>
    <w:p>
      <w:r>
        <w:t>Bundesgericht (BGE), 1995-01-16, FR</w:t>
      </w:r>
    </w:p>
    <w:p>
      <w:r>
        <w:rPr>
          <w:b/>
        </w:rPr>
        <w:t xml:space="preserve">Quelle: </w:t>
      </w:r>
      <w:r>
        <w:t>https://mcp.opencaselaw.ch/entscheid/bge_121 III 38</w:t>
      </w:r>
    </w:p>
    <w:p>
      <w:r>
        <w:t>FR: ATF 121 III 38</w:t>
      </w:r>
    </w:p>
    <w:p>
      <w:r>
        <w:t>IT: DTF 121 III 38</w:t>
      </w:r>
    </w:p>
    <w:p>
      <w:pPr>
        <w:pStyle w:val="Heading2"/>
      </w:pPr>
      <w:r>
        <w:t>Regeste</w:t>
      </w:r>
    </w:p>
    <w:p>
      <w:r>
        <w:t>Regeste Art. II des New Yorker Übereinkommens vom 10. Juni 1958 über die Anerkennung und Vollstreckung ausländischer Schiedssprüche (nachfolgend: New Yorker Übereinkommen). 1. Der staatliche Richter, vor dem eine Einrede der Schiedsgerichtsbarkeit gestützt auf Art. II Abs. 3 des New Yorker Übereinkommens erhoben wird, hat die formelle Gültigkeit der Schiedsvereinbarung mit voller Kognition zu prüfen (E. 2b). Die entsprechenden formellen Voraussetzungen von Art. II Abs. 2 des New Yorker Übereinkommens decken sich mit jenen von Art. 178 IPRG (E. 2c). 2. Unter besonderen Umständen kann eine Verhaltensweise nach Treu und Glauben die Einhaltung einer Formvorschrift ersetzen (E. 3).</w:t>
      </w:r>
    </w:p>
    <w:p>
      <w:pPr>
        <w:pStyle w:val="Heading2"/>
      </w:pPr>
      <w:r>
        <w:t>Erwägungen</w:t>
      </w:r>
    </w:p>
    <w:p>
      <w:r>
        <w:rPr>
          <w:b/>
        </w:rPr>
        <w:t>E. 2</w:t>
      </w:r>
    </w:p>
    <w:p>
      <w:r>
        <w:t>On entend par "convention écrite" une clause compromissoire insérée dans un contrat, ou un compromis, signés par les parties ou contenus dans un échange de lettres ou de télégrammes.</w:t>
      </w:r>
    </w:p>
    <w:p>
      <w:r>
        <w:rPr>
          <w:b/>
        </w:rPr>
        <w:t>E. 3</w:t>
      </w:r>
    </w:p>
    <w:p>
      <w:r>
        <w:t>La Cour de justice a constaté de manière à lier le Tribunal fédéral que tant les sociétés des groupes MSC que le chargeur Somatrans Z.A.E. sont spécialisés dans les transports maritimes internationaux, qu'ils entretiennent depuis plusieurs années des relations d'affaires et utilisent régulièrement à cet effet les connaissements imprimés à l'en-tête de MSC, de sorte que le chargeur a en tout cas une parfaite connaissance des conditions générales qui figurent au recto de ces documents. La cour cantonale a en outre retenu que le chargeur a rempli lui-même le connaissement établi le 21 décembre 1991. Elle en a déduit que Somatrans Z.A.E. a manifesté par écrit et son acceptation du connaissement et son adhésion à la clause compromissoire imprimée sur le document, si bien que la forme écrite exigée par la Convention de New York paraît respectée, quand bien même seul le transporteur, par l'intermédiaire d'un agent, a signé le connaissement. Au demeurant, poursuit l'autorité cantonale, le destinataire, qui est une entreprise du groupe Somatrans, a signé une copie du connaissement et a endossé le document original lors de la réception de la marchandise. Selon la demanderesse, la clause d'arbitrage n'est pas valable, du moment que la signature du chargeur ne figure pas sur le connaissement. Dans l' ATF 110 II 54 , le Tribunal fédéral a reconnu, s'agissant de deux sociétés commerciales rompues aux affaires, que le renvoi aux conditions d'une charte-partie (Frachtvertrag) - censées connues des parties et au nombre desquelles figure une clause arbitrale - contenu dans un connaissement signé par le transporteur et par le chargeur au nom d'une société appartenant au même groupe que l'affréteur, constituait une clause BGE 121 III 38 S. 45 arbitrale valable (approuvé par LALIVE/POUDRET/REYMOND, op.cit., n. 13 art. 178 LDIP ). Le cas présent se différencie toutefois des circonstances à la base de cet arrêt; d'une part, la clause compromissoire litigieuse figure sur le connaissement lui-même et non dans un document auquel renvoie le titre représentatif de marchandises, d'autre part le chargeur n'a pas signé le connaissement établi le 21 décembre 1991 et n'y a pas renvoyé d'une autre manière par sa signature. Se pose donc la question de la validité de la convention d'arbitrage, compte tenu qu'aucun document afférent au transport de marchandises en cause ne porte la signature de Somatrans Z.A.E. Selon les prescriptions de forme déterminantes en l'espèce, sont reconnues valables d'un côté les clauses compromissoires qui sont insérées dans un contrat signé, de l'autre celles qui sont contenues dans un échange de lettres, télégrammes, télex et autres moyens de communication. Autrement dit, il convient de différencier les conventions constatées dans un document, lequel doit en principe être signé, de celles qui résultent de l'échange de déclarations écrites, lesquelles ne sont pas soumises à l'exigence de la signature (SCHLOSSER, op.cit., p. 270 ss, n. 373 ss; VAN DEN BERG, op.cit., p. 192 ss). A considérer strictement cette distinction, la validité de la convention d'arbitrage devrait être niée, à moins d'admettre que la signature apposée par Somatrans, Île de la Réunion, tant sur l'original que sur la copie du connaissement lie le chargeur. Il ne faut toutefois pas perdre de vue qu'avec le développement des moyens modernes de communication, les écrits non signés ont une importance et une diffusion toujours plus grande, que l'exigence de la signature se relativise fatalement en particulier en matière de commerce international et que le traitement différent réservé aux documents signés et non signés est remis en cause. A cela s'ajoute que dans des situations particulières, un comportement donné peut suppléer en vertu des règles de la bonne foi à l'observation d'une prescription de forme (SCHLOSSER, op.cit., p. 272, n. 374). Or, précisément, on se trouve en l'espèce dans un tel cas de figure. De fait, les parties, qui sont depuis longtemps en relations d'affaires, leur donnent pour cadre juridique les conditions générales comportant, au chiffre 2, la clause compromissoire en litige. En outre, le chargeur a rempli lui-même le connaissement avant de le remettre au transporteur, qui l'a pour sa part signé. Abstraction faite que cette manière de procéder ne se différencie guère d'un échange de déclarations par télex ou documents similaires, le transporteur était en droit d'admettre de bonne foi que le BGE 121 III 38 S. 46 chargeur, son partenaire en affaires depuis plusieurs années, approuvait les documents contractuels que ce dernier avait lui-même rempli, y compris les conditions générales en formant le verso dans lesquelles figure la clause compromissoire (cf. SCHLOSSER, op.cit., p. 272 s. n. 374). Partant, la Cour de justice n'a nullement violé le droit fédéral en déclarant valable, eu égard à l'ensemble des circonstances, la clause arbitrale précitée.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